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7001D" w14:textId="11250144" w:rsidR="000C1F51" w:rsidRDefault="00C4532A" w:rsidP="00C4532A">
      <w:pPr>
        <w:jc w:val="center"/>
        <w:rPr>
          <w:sz w:val="32"/>
          <w:szCs w:val="32"/>
        </w:rPr>
      </w:pPr>
      <w:r>
        <w:rPr>
          <w:sz w:val="32"/>
          <w:szCs w:val="32"/>
        </w:rPr>
        <w:t>Patientinformation om antibiotikabehandling mod akne</w:t>
      </w:r>
    </w:p>
    <w:p w14:paraId="53AE54F6" w14:textId="61FE313D" w:rsidR="00C4532A" w:rsidRDefault="00C4532A" w:rsidP="00C4532A">
      <w:pPr>
        <w:jc w:val="center"/>
        <w:rPr>
          <w:sz w:val="32"/>
          <w:szCs w:val="32"/>
        </w:rPr>
      </w:pPr>
    </w:p>
    <w:p w14:paraId="6FB3E320" w14:textId="69D23C12" w:rsidR="00C4532A" w:rsidRDefault="00C4532A" w:rsidP="00C4532A">
      <w:pPr>
        <w:rPr>
          <w:sz w:val="28"/>
          <w:szCs w:val="28"/>
        </w:rPr>
      </w:pPr>
      <w:r>
        <w:rPr>
          <w:sz w:val="28"/>
          <w:szCs w:val="28"/>
        </w:rPr>
        <w:t>Generelt:</w:t>
      </w:r>
    </w:p>
    <w:p w14:paraId="41576305" w14:textId="1CBEF277" w:rsidR="00C4532A" w:rsidRDefault="00C4532A" w:rsidP="00C4532A">
      <w:pPr>
        <w:rPr>
          <w:sz w:val="24"/>
          <w:szCs w:val="24"/>
        </w:rPr>
      </w:pPr>
      <w:r>
        <w:rPr>
          <w:sz w:val="24"/>
          <w:szCs w:val="24"/>
        </w:rPr>
        <w:t xml:space="preserve">Man anvender forskellige typer af antibiotika til behandling af akne, som oftest i kombination med en cremebehandling, som hudlægen ordinerer til dig sideløbende (se venligst instruks for cremebehandling af akne på klinikkens hjemmeside). De præparater, man typisk anvender er </w:t>
      </w:r>
      <w:proofErr w:type="spellStart"/>
      <w:r>
        <w:rPr>
          <w:sz w:val="24"/>
          <w:szCs w:val="24"/>
        </w:rPr>
        <w:t>vibradox</w:t>
      </w:r>
      <w:proofErr w:type="spellEnd"/>
      <w:r>
        <w:rPr>
          <w:sz w:val="24"/>
          <w:szCs w:val="24"/>
        </w:rPr>
        <w:t xml:space="preserve"> (</w:t>
      </w:r>
      <w:proofErr w:type="spellStart"/>
      <w:r>
        <w:rPr>
          <w:sz w:val="24"/>
          <w:szCs w:val="24"/>
        </w:rPr>
        <w:t>doxycyclin</w:t>
      </w:r>
      <w:proofErr w:type="spellEnd"/>
      <w:r>
        <w:rPr>
          <w:sz w:val="24"/>
          <w:szCs w:val="24"/>
        </w:rPr>
        <w:t xml:space="preserve">), </w:t>
      </w:r>
      <w:proofErr w:type="spellStart"/>
      <w:r>
        <w:rPr>
          <w:sz w:val="24"/>
          <w:szCs w:val="24"/>
        </w:rPr>
        <w:t>tetralysal</w:t>
      </w:r>
      <w:proofErr w:type="spellEnd"/>
      <w:r>
        <w:rPr>
          <w:sz w:val="24"/>
          <w:szCs w:val="24"/>
        </w:rPr>
        <w:t xml:space="preserve"> (</w:t>
      </w:r>
      <w:proofErr w:type="spellStart"/>
      <w:r>
        <w:rPr>
          <w:sz w:val="24"/>
          <w:szCs w:val="24"/>
        </w:rPr>
        <w:t>lymecyclin</w:t>
      </w:r>
      <w:proofErr w:type="spellEnd"/>
      <w:r>
        <w:rPr>
          <w:sz w:val="24"/>
          <w:szCs w:val="24"/>
        </w:rPr>
        <w:t xml:space="preserve">), </w:t>
      </w:r>
      <w:proofErr w:type="spellStart"/>
      <w:r>
        <w:rPr>
          <w:sz w:val="24"/>
          <w:szCs w:val="24"/>
        </w:rPr>
        <w:t>tetracyclin</w:t>
      </w:r>
      <w:proofErr w:type="spellEnd"/>
      <w:r>
        <w:rPr>
          <w:sz w:val="24"/>
          <w:szCs w:val="24"/>
        </w:rPr>
        <w:t xml:space="preserve"> eller </w:t>
      </w:r>
      <w:proofErr w:type="spellStart"/>
      <w:r>
        <w:rPr>
          <w:sz w:val="24"/>
          <w:szCs w:val="24"/>
        </w:rPr>
        <w:t>roxithromycin</w:t>
      </w:r>
      <w:proofErr w:type="spellEnd"/>
      <w:r>
        <w:rPr>
          <w:sz w:val="24"/>
          <w:szCs w:val="24"/>
        </w:rPr>
        <w:t>. Hudlægen vælger det præparat, som er bedst at anvende i din situation. De enkelte præparater doseres lidt forskelligt, men hudlægen har informeret dig om hvordan de skal tages under din konsultation, ligesom det fremgår af pakningen.</w:t>
      </w:r>
    </w:p>
    <w:p w14:paraId="64689193" w14:textId="3EAD814A" w:rsidR="00C4532A" w:rsidRDefault="00C4532A" w:rsidP="00C4532A">
      <w:pPr>
        <w:rPr>
          <w:sz w:val="24"/>
          <w:szCs w:val="24"/>
        </w:rPr>
      </w:pPr>
      <w:r>
        <w:rPr>
          <w:sz w:val="24"/>
          <w:szCs w:val="24"/>
        </w:rPr>
        <w:t>Præparaterne virker ved at dæmpe inflammation i huden og ved at bekæmpe de bakterier, som spiller en rolle i huden ved akne.</w:t>
      </w:r>
    </w:p>
    <w:p w14:paraId="2145DC1C" w14:textId="77777777" w:rsidR="00D33504" w:rsidRDefault="00D33504" w:rsidP="00C4532A">
      <w:pPr>
        <w:rPr>
          <w:sz w:val="24"/>
          <w:szCs w:val="24"/>
        </w:rPr>
      </w:pPr>
    </w:p>
    <w:p w14:paraId="6314F080" w14:textId="670E3758" w:rsidR="00C4532A" w:rsidRDefault="00C4532A" w:rsidP="00C4532A">
      <w:pPr>
        <w:rPr>
          <w:sz w:val="28"/>
          <w:szCs w:val="28"/>
        </w:rPr>
      </w:pPr>
      <w:r>
        <w:rPr>
          <w:sz w:val="28"/>
          <w:szCs w:val="28"/>
        </w:rPr>
        <w:t>Fremgangsmåde:</w:t>
      </w:r>
    </w:p>
    <w:p w14:paraId="276E210F" w14:textId="5FC7236A" w:rsidR="00C4532A" w:rsidRDefault="00C4532A" w:rsidP="00C4532A">
      <w:pPr>
        <w:rPr>
          <w:sz w:val="24"/>
          <w:szCs w:val="24"/>
        </w:rPr>
      </w:pPr>
      <w:r>
        <w:rPr>
          <w:sz w:val="24"/>
          <w:szCs w:val="24"/>
        </w:rPr>
        <w:t xml:space="preserve">Præparaterne tages en eller to gange om dagen. Det anbefales (uanset, hvad der i øvrigt fremgår af pakning og indlægsseddel), at du tager tabletterne sammen med et måltid. </w:t>
      </w:r>
      <w:r w:rsidR="00E41A94">
        <w:rPr>
          <w:sz w:val="24"/>
          <w:szCs w:val="24"/>
        </w:rPr>
        <w:t>Den typiske behandlingsvarighed er tre måneder, men i visse tilfælde kan hudlægen forlænge behandlingsperioden.</w:t>
      </w:r>
    </w:p>
    <w:p w14:paraId="75A6779D" w14:textId="706D50B7" w:rsidR="00E41A94" w:rsidRDefault="00E41A94" w:rsidP="00C4532A">
      <w:pPr>
        <w:rPr>
          <w:sz w:val="24"/>
          <w:szCs w:val="24"/>
        </w:rPr>
      </w:pPr>
      <w:r>
        <w:rPr>
          <w:sz w:val="24"/>
          <w:szCs w:val="24"/>
        </w:rPr>
        <w:t xml:space="preserve">Der er </w:t>
      </w:r>
      <w:r w:rsidR="00F64D7A">
        <w:rPr>
          <w:sz w:val="24"/>
          <w:szCs w:val="24"/>
        </w:rPr>
        <w:t>enkelte</w:t>
      </w:r>
      <w:r>
        <w:rPr>
          <w:sz w:val="24"/>
          <w:szCs w:val="24"/>
        </w:rPr>
        <w:t xml:space="preserve"> forholdsregler, som man skal være opmærksom på under behandlingen og som gælder samtlige ovenstående præparater:</w:t>
      </w:r>
    </w:p>
    <w:p w14:paraId="2D7FB1A7" w14:textId="24987940" w:rsidR="00E41A94" w:rsidRDefault="00E41A94" w:rsidP="00E41A94">
      <w:pPr>
        <w:pStyle w:val="Listeafsnit"/>
        <w:numPr>
          <w:ilvl w:val="0"/>
          <w:numId w:val="1"/>
        </w:numPr>
        <w:rPr>
          <w:sz w:val="24"/>
          <w:szCs w:val="24"/>
        </w:rPr>
      </w:pPr>
      <w:r>
        <w:rPr>
          <w:sz w:val="24"/>
          <w:szCs w:val="24"/>
        </w:rPr>
        <w:t xml:space="preserve">Pillernes effekt reduceres ved samtidig indtagelse af mejeriprodukter, hvorfor </w:t>
      </w:r>
      <w:r w:rsidR="00F64D7A">
        <w:rPr>
          <w:sz w:val="24"/>
          <w:szCs w:val="24"/>
        </w:rPr>
        <w:t>du</w:t>
      </w:r>
      <w:r>
        <w:rPr>
          <w:sz w:val="24"/>
          <w:szCs w:val="24"/>
        </w:rPr>
        <w:t xml:space="preserve"> skal undgå at spise/drikke disse i tre timer inden medicinindtag og tre timer efter (vær opmærksom på at det er kalk (calcium, magnesium og andre kalksalte, som hæmmer optagelsen af disse typer af antibiotika, så veganske alternativer, skal som oftest derfor også undgås, da disse ofte er tilsat calcium).</w:t>
      </w:r>
    </w:p>
    <w:p w14:paraId="0C226C4F" w14:textId="5A7E80F4" w:rsidR="00E41A94" w:rsidRDefault="00E41A94" w:rsidP="00E41A94">
      <w:pPr>
        <w:pStyle w:val="Listeafsnit"/>
        <w:numPr>
          <w:ilvl w:val="0"/>
          <w:numId w:val="1"/>
        </w:numPr>
        <w:rPr>
          <w:sz w:val="24"/>
          <w:szCs w:val="24"/>
        </w:rPr>
      </w:pPr>
      <w:r>
        <w:rPr>
          <w:sz w:val="24"/>
          <w:szCs w:val="24"/>
        </w:rPr>
        <w:t xml:space="preserve">Der gælder samme forholdsregler for piller </w:t>
      </w:r>
      <w:r w:rsidR="00F64D7A">
        <w:rPr>
          <w:sz w:val="24"/>
          <w:szCs w:val="24"/>
        </w:rPr>
        <w:t>imod</w:t>
      </w:r>
      <w:r>
        <w:rPr>
          <w:sz w:val="24"/>
          <w:szCs w:val="24"/>
        </w:rPr>
        <w:t xml:space="preserve"> mavesyre </w:t>
      </w:r>
      <w:r w:rsidR="00F64D7A">
        <w:rPr>
          <w:sz w:val="24"/>
          <w:szCs w:val="24"/>
        </w:rPr>
        <w:t xml:space="preserve">af typen </w:t>
      </w:r>
      <w:proofErr w:type="spellStart"/>
      <w:r w:rsidR="00F64D7A">
        <w:rPr>
          <w:i/>
          <w:iCs/>
          <w:sz w:val="24"/>
          <w:szCs w:val="24"/>
        </w:rPr>
        <w:t>antacida</w:t>
      </w:r>
      <w:proofErr w:type="spellEnd"/>
      <w:r w:rsidR="00F64D7A">
        <w:rPr>
          <w:sz w:val="24"/>
          <w:szCs w:val="24"/>
        </w:rPr>
        <w:t xml:space="preserve"> (</w:t>
      </w:r>
      <w:proofErr w:type="spellStart"/>
      <w:r w:rsidR="00F64D7A">
        <w:rPr>
          <w:sz w:val="24"/>
          <w:szCs w:val="24"/>
        </w:rPr>
        <w:t>Alminox</w:t>
      </w:r>
      <w:proofErr w:type="spellEnd"/>
      <w:r w:rsidR="00F64D7A">
        <w:rPr>
          <w:sz w:val="24"/>
          <w:szCs w:val="24"/>
        </w:rPr>
        <w:t xml:space="preserve">, </w:t>
      </w:r>
      <w:proofErr w:type="spellStart"/>
      <w:r w:rsidR="00F64D7A">
        <w:rPr>
          <w:sz w:val="24"/>
          <w:szCs w:val="24"/>
        </w:rPr>
        <w:t>Balancid</w:t>
      </w:r>
      <w:proofErr w:type="spellEnd"/>
      <w:r w:rsidR="00F64D7A">
        <w:rPr>
          <w:sz w:val="24"/>
          <w:szCs w:val="24"/>
        </w:rPr>
        <w:t>, Magnesia mf.) som også indeholder ovennævnte kalksalte.</w:t>
      </w:r>
    </w:p>
    <w:p w14:paraId="19E9129F" w14:textId="0E1DC82E" w:rsidR="00E41A94" w:rsidRDefault="00E41A94" w:rsidP="00E41A94">
      <w:pPr>
        <w:pStyle w:val="Listeafsnit"/>
        <w:numPr>
          <w:ilvl w:val="0"/>
          <w:numId w:val="1"/>
        </w:numPr>
        <w:rPr>
          <w:sz w:val="24"/>
          <w:szCs w:val="24"/>
        </w:rPr>
      </w:pPr>
      <w:r>
        <w:rPr>
          <w:sz w:val="24"/>
          <w:szCs w:val="24"/>
        </w:rPr>
        <w:t xml:space="preserve">Man bliver lysfølsom </w:t>
      </w:r>
      <w:r w:rsidR="00F64D7A">
        <w:rPr>
          <w:sz w:val="24"/>
          <w:szCs w:val="24"/>
        </w:rPr>
        <w:t>under</w:t>
      </w:r>
      <w:r>
        <w:rPr>
          <w:sz w:val="24"/>
          <w:szCs w:val="24"/>
        </w:rPr>
        <w:t xml:space="preserve"> behandlingen og du skal derfor undgå at solbade og du skal bruge solcreme, når du færdes ude i sommerhalvåret.</w:t>
      </w:r>
    </w:p>
    <w:p w14:paraId="2795352D" w14:textId="7387E01C" w:rsidR="00D33504" w:rsidRDefault="00D33504" w:rsidP="00E41A94">
      <w:pPr>
        <w:pStyle w:val="Listeafsnit"/>
        <w:numPr>
          <w:ilvl w:val="0"/>
          <w:numId w:val="1"/>
        </w:numPr>
        <w:rPr>
          <w:sz w:val="24"/>
          <w:szCs w:val="24"/>
        </w:rPr>
      </w:pPr>
      <w:r>
        <w:rPr>
          <w:sz w:val="24"/>
          <w:szCs w:val="24"/>
        </w:rPr>
        <w:t>Alkohol skal kun indtages i moderate mængder.</w:t>
      </w:r>
    </w:p>
    <w:p w14:paraId="213E08B5" w14:textId="17463825" w:rsidR="00F64D7A" w:rsidRDefault="00F64D7A" w:rsidP="00F64D7A">
      <w:pPr>
        <w:rPr>
          <w:sz w:val="24"/>
          <w:szCs w:val="24"/>
        </w:rPr>
      </w:pPr>
    </w:p>
    <w:p w14:paraId="7BE4A7C6" w14:textId="7FF75038" w:rsidR="00F64D7A" w:rsidRDefault="00F64D7A" w:rsidP="00F64D7A">
      <w:pPr>
        <w:rPr>
          <w:sz w:val="28"/>
          <w:szCs w:val="28"/>
        </w:rPr>
      </w:pPr>
      <w:r>
        <w:rPr>
          <w:sz w:val="28"/>
          <w:szCs w:val="28"/>
        </w:rPr>
        <w:t>Bivirkninger:</w:t>
      </w:r>
    </w:p>
    <w:p w14:paraId="4DCD69D5" w14:textId="47A70A60" w:rsidR="00F64D7A" w:rsidRDefault="00F64D7A" w:rsidP="00F64D7A">
      <w:pPr>
        <w:rPr>
          <w:sz w:val="24"/>
          <w:szCs w:val="24"/>
        </w:rPr>
      </w:pPr>
      <w:r>
        <w:rPr>
          <w:sz w:val="24"/>
          <w:szCs w:val="24"/>
        </w:rPr>
        <w:t>Behandlingen tåles som regel fint, men da der er tale om antibiotikapræparater, kan der i nogle tilfælde opstå bivirkninger. De typiske bivirkninger er:</w:t>
      </w:r>
    </w:p>
    <w:p w14:paraId="6E45D99E" w14:textId="2626BF6F" w:rsidR="00F64D7A" w:rsidRDefault="00F64D7A" w:rsidP="00F64D7A">
      <w:pPr>
        <w:pStyle w:val="Listeafsnit"/>
        <w:numPr>
          <w:ilvl w:val="0"/>
          <w:numId w:val="2"/>
        </w:numPr>
        <w:rPr>
          <w:sz w:val="24"/>
          <w:szCs w:val="24"/>
        </w:rPr>
      </w:pPr>
      <w:r>
        <w:rPr>
          <w:sz w:val="24"/>
          <w:szCs w:val="24"/>
        </w:rPr>
        <w:lastRenderedPageBreak/>
        <w:t>Maveproblemer – diare, kvalme og evt. opkastninger</w:t>
      </w:r>
    </w:p>
    <w:p w14:paraId="378AD5F3" w14:textId="3CC833F4" w:rsidR="00F64D7A" w:rsidRDefault="00F64D7A" w:rsidP="00F64D7A">
      <w:pPr>
        <w:pStyle w:val="Listeafsnit"/>
        <w:numPr>
          <w:ilvl w:val="0"/>
          <w:numId w:val="2"/>
        </w:numPr>
        <w:rPr>
          <w:sz w:val="24"/>
          <w:szCs w:val="24"/>
        </w:rPr>
      </w:pPr>
      <w:r>
        <w:rPr>
          <w:sz w:val="24"/>
          <w:szCs w:val="24"/>
        </w:rPr>
        <w:t>Lysfølsomhed</w:t>
      </w:r>
    </w:p>
    <w:p w14:paraId="677DDBE6" w14:textId="2C7CB58D" w:rsidR="00F64D7A" w:rsidRDefault="00F64D7A" w:rsidP="00F64D7A">
      <w:pPr>
        <w:pStyle w:val="Listeafsnit"/>
        <w:numPr>
          <w:ilvl w:val="0"/>
          <w:numId w:val="2"/>
        </w:numPr>
        <w:rPr>
          <w:sz w:val="24"/>
          <w:szCs w:val="24"/>
        </w:rPr>
      </w:pPr>
      <w:r>
        <w:rPr>
          <w:sz w:val="24"/>
          <w:szCs w:val="24"/>
        </w:rPr>
        <w:t>Hovedpine</w:t>
      </w:r>
    </w:p>
    <w:p w14:paraId="1FD772A8" w14:textId="3A69F8B9" w:rsidR="00F64D7A" w:rsidRPr="00F64D7A" w:rsidRDefault="00F64D7A" w:rsidP="00F64D7A">
      <w:pPr>
        <w:pStyle w:val="Listeafsnit"/>
        <w:numPr>
          <w:ilvl w:val="0"/>
          <w:numId w:val="2"/>
        </w:numPr>
        <w:rPr>
          <w:sz w:val="24"/>
          <w:szCs w:val="24"/>
        </w:rPr>
      </w:pPr>
      <w:r>
        <w:rPr>
          <w:sz w:val="24"/>
          <w:szCs w:val="24"/>
        </w:rPr>
        <w:t>Svimmelhed</w:t>
      </w:r>
    </w:p>
    <w:p w14:paraId="30F708A0" w14:textId="111EA4B6" w:rsidR="00F64D7A" w:rsidRDefault="00F64D7A" w:rsidP="00F64D7A">
      <w:pPr>
        <w:pStyle w:val="Listeafsnit"/>
        <w:numPr>
          <w:ilvl w:val="0"/>
          <w:numId w:val="2"/>
        </w:numPr>
        <w:rPr>
          <w:sz w:val="24"/>
          <w:szCs w:val="24"/>
        </w:rPr>
      </w:pPr>
      <w:r>
        <w:rPr>
          <w:sz w:val="24"/>
          <w:szCs w:val="24"/>
        </w:rPr>
        <w:t>Høre- eller synsforstyrrelser (meget sjældent)</w:t>
      </w:r>
    </w:p>
    <w:p w14:paraId="5FA18C3E" w14:textId="0941CFA9" w:rsidR="00F64D7A" w:rsidRPr="00F64D7A" w:rsidRDefault="00F64D7A" w:rsidP="00F64D7A">
      <w:pPr>
        <w:rPr>
          <w:sz w:val="24"/>
          <w:szCs w:val="24"/>
        </w:rPr>
      </w:pPr>
      <w:r>
        <w:rPr>
          <w:sz w:val="24"/>
          <w:szCs w:val="24"/>
        </w:rPr>
        <w:t>Hvis du oplever længerevarende bivirkninger, skal du straks kontakte klinikken og informere om dette enten på tlf. 45 88 01 77 eller via sikker mail på www.lægevejen.dk.</w:t>
      </w:r>
    </w:p>
    <w:p w14:paraId="1D627AD0" w14:textId="77777777" w:rsidR="00E41A94" w:rsidRPr="00E41A94" w:rsidRDefault="00E41A94" w:rsidP="00F64D7A">
      <w:pPr>
        <w:pStyle w:val="Listeafsnit"/>
        <w:rPr>
          <w:sz w:val="24"/>
          <w:szCs w:val="24"/>
        </w:rPr>
      </w:pPr>
    </w:p>
    <w:sectPr w:rsidR="00E41A94" w:rsidRPr="00E41A94">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76C0" w14:textId="77777777" w:rsidR="007F3F77" w:rsidRDefault="007F3F77" w:rsidP="00F64D7A">
      <w:pPr>
        <w:spacing w:after="0" w:line="240" w:lineRule="auto"/>
      </w:pPr>
      <w:r>
        <w:separator/>
      </w:r>
    </w:p>
  </w:endnote>
  <w:endnote w:type="continuationSeparator" w:id="0">
    <w:p w14:paraId="2DBC6224" w14:textId="77777777" w:rsidR="007F3F77" w:rsidRDefault="007F3F77" w:rsidP="00F6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7D5D1" w14:textId="77777777" w:rsidR="007F3F77" w:rsidRDefault="007F3F77" w:rsidP="00F64D7A">
      <w:pPr>
        <w:spacing w:after="0" w:line="240" w:lineRule="auto"/>
      </w:pPr>
      <w:r>
        <w:separator/>
      </w:r>
    </w:p>
  </w:footnote>
  <w:footnote w:type="continuationSeparator" w:id="0">
    <w:p w14:paraId="16E5FB4A" w14:textId="77777777" w:rsidR="007F3F77" w:rsidRDefault="007F3F77" w:rsidP="00F64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93EC" w14:textId="44E57BBE" w:rsidR="00F64D7A" w:rsidRDefault="00F64D7A">
    <w:pPr>
      <w:pStyle w:val="Sidehoved"/>
    </w:pPr>
    <w:r>
      <w:t>Ansvarlig: læge Søren Kamp. Godkendt 09-10 2021. Træder i kraft 09-10 2021. Revideres senest 09-10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74A9"/>
    <w:multiLevelType w:val="hybridMultilevel"/>
    <w:tmpl w:val="806085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5C159BE"/>
    <w:multiLevelType w:val="hybridMultilevel"/>
    <w:tmpl w:val="1CAEAB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2A"/>
    <w:rsid w:val="0013274A"/>
    <w:rsid w:val="007F3F77"/>
    <w:rsid w:val="00C4532A"/>
    <w:rsid w:val="00D33504"/>
    <w:rsid w:val="00D528F4"/>
    <w:rsid w:val="00E41A94"/>
    <w:rsid w:val="00F64D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B9B4"/>
  <w15:chartTrackingRefBased/>
  <w15:docId w15:val="{960F0ABA-D38C-42B6-B1C4-B8EC9EF4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41A94"/>
    <w:pPr>
      <w:ind w:left="720"/>
      <w:contextualSpacing/>
    </w:pPr>
  </w:style>
  <w:style w:type="paragraph" w:styleId="Sidehoved">
    <w:name w:val="header"/>
    <w:basedOn w:val="Normal"/>
    <w:link w:val="SidehovedTegn"/>
    <w:uiPriority w:val="99"/>
    <w:unhideWhenUsed/>
    <w:rsid w:val="00F64D7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64D7A"/>
  </w:style>
  <w:style w:type="paragraph" w:styleId="Sidefod">
    <w:name w:val="footer"/>
    <w:basedOn w:val="Normal"/>
    <w:link w:val="SidefodTegn"/>
    <w:uiPriority w:val="99"/>
    <w:unhideWhenUsed/>
    <w:rsid w:val="00F64D7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6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338</Words>
  <Characters>2065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Kamp</dc:creator>
  <cp:keywords/>
  <dc:description/>
  <cp:lastModifiedBy>Søren Kamp</cp:lastModifiedBy>
  <cp:revision>1</cp:revision>
  <dcterms:created xsi:type="dcterms:W3CDTF">2021-10-09T09:07:00Z</dcterms:created>
  <dcterms:modified xsi:type="dcterms:W3CDTF">2021-10-09T09:39:00Z</dcterms:modified>
</cp:coreProperties>
</file>